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74" w:rsidRDefault="00337174" w:rsidP="00337174">
      <w:pPr>
        <w:spacing w:line="560" w:lineRule="exact"/>
        <w:rPr>
          <w:rFonts w:ascii="方正黑体_GBK" w:eastAsia="方正黑体_GBK" w:hAnsi="方正小标宋_GBK" w:hint="eastAsia"/>
          <w:sz w:val="32"/>
          <w:szCs w:val="44"/>
        </w:rPr>
      </w:pPr>
      <w:r w:rsidRPr="00337174">
        <w:rPr>
          <w:rFonts w:ascii="方正黑体_GBK" w:eastAsia="方正黑体_GBK" w:hAnsi="方正小标宋_GBK" w:hint="eastAsia"/>
          <w:sz w:val="32"/>
          <w:szCs w:val="44"/>
        </w:rPr>
        <w:t>附件</w:t>
      </w:r>
    </w:p>
    <w:p w:rsidR="00337174" w:rsidRPr="00337174" w:rsidRDefault="00337174" w:rsidP="00337174">
      <w:pPr>
        <w:spacing w:line="560" w:lineRule="exact"/>
        <w:rPr>
          <w:rFonts w:ascii="方正黑体_GBK" w:eastAsia="方正黑体_GBK" w:hAnsi="方正小标宋_GBK" w:hint="eastAsia"/>
          <w:sz w:val="32"/>
          <w:szCs w:val="44"/>
        </w:rPr>
      </w:pPr>
      <w:bookmarkStart w:id="0" w:name="_GoBack"/>
      <w:bookmarkEnd w:id="0"/>
    </w:p>
    <w:p w:rsidR="003415EB" w:rsidRPr="009F642D" w:rsidRDefault="003415EB" w:rsidP="003415EB">
      <w:pPr>
        <w:spacing w:line="760" w:lineRule="exact"/>
        <w:jc w:val="center"/>
        <w:rPr>
          <w:rFonts w:ascii="方正小标宋_GBK" w:eastAsia="方正小标宋_GBK" w:hAnsi="华文中宋" w:cs="华文中宋"/>
          <w:spacing w:val="-12"/>
          <w:sz w:val="44"/>
          <w:szCs w:val="44"/>
        </w:rPr>
      </w:pPr>
      <w:r w:rsidRPr="009F642D">
        <w:rPr>
          <w:rFonts w:ascii="方正小标宋_GBK" w:eastAsia="方正小标宋_GBK" w:hAnsi="华文中宋" w:cs="华文中宋" w:hint="eastAsia"/>
          <w:spacing w:val="-12"/>
          <w:sz w:val="44"/>
          <w:szCs w:val="44"/>
        </w:rPr>
        <w:t>成都市国有资产监督管理委员会2019-</w:t>
      </w:r>
      <w:proofErr w:type="gramStart"/>
      <w:r w:rsidRPr="009F642D">
        <w:rPr>
          <w:rFonts w:ascii="方正小标宋_GBK" w:eastAsia="方正小标宋_GBK" w:hAnsi="华文中宋" w:cs="华文中宋" w:hint="eastAsia"/>
          <w:spacing w:val="-12"/>
          <w:sz w:val="44"/>
          <w:szCs w:val="44"/>
        </w:rPr>
        <w:t>2020年度久其软件</w:t>
      </w:r>
      <w:proofErr w:type="gramEnd"/>
      <w:r w:rsidRPr="009F642D">
        <w:rPr>
          <w:rFonts w:ascii="方正小标宋_GBK" w:eastAsia="方正小标宋_GBK" w:hAnsi="华文中宋" w:cs="华文中宋" w:hint="eastAsia"/>
          <w:spacing w:val="-12"/>
          <w:sz w:val="44"/>
          <w:szCs w:val="44"/>
        </w:rPr>
        <w:t>数据维护及日常财务审计数据审核专项服务所需中介机构比选方案</w:t>
      </w:r>
    </w:p>
    <w:p w:rsidR="003415EB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一、项目名称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9F642D">
        <w:rPr>
          <w:rFonts w:ascii="Times New Roman" w:eastAsia="方正仿宋_GBK" w:hAnsi="Times New Roman" w:cs="Times New Roman"/>
          <w:sz w:val="32"/>
          <w:szCs w:val="32"/>
        </w:rPr>
        <w:t>对久其软件</w:t>
      </w:r>
      <w:proofErr w:type="gramEnd"/>
      <w:r w:rsidRPr="009F642D">
        <w:rPr>
          <w:rFonts w:ascii="Times New Roman" w:eastAsia="方正仿宋_GBK" w:hAnsi="Times New Roman" w:cs="Times New Roman"/>
          <w:sz w:val="32"/>
          <w:szCs w:val="32"/>
        </w:rPr>
        <w:t>数据维护及日常财务审计数据审核专项服务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二、服务形式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拟采购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家会计师事务所</w:t>
      </w:r>
      <w:proofErr w:type="gramStart"/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提供驻</w:t>
      </w:r>
      <w:proofErr w:type="gramEnd"/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委专项服务，向其支付专项服务费，由其派驻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人，派出人员工资报酬劳务由会计师事务所管理。派出人员工作由我委安排，接受我委考核。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三、服务期限：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月至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四、服务内容：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（一）服务期内每年度完成全市国</w:t>
      </w:r>
      <w:proofErr w:type="gramStart"/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资系统久其</w:t>
      </w:r>
      <w:proofErr w:type="gramEnd"/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软件数据库维护，保证日常数据统计工作的正常运行；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（二）服务期内每年度对全市市属国企、各区</w:t>
      </w:r>
      <w:proofErr w:type="gramStart"/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市县国</w:t>
      </w:r>
      <w:proofErr w:type="gramEnd"/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资监管部门以及相关中介机构</w:t>
      </w:r>
      <w:proofErr w:type="gramStart"/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的久其软件</w:t>
      </w:r>
      <w:proofErr w:type="gramEnd"/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应用培训不少于两次；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（三）保障每年全市国企企业财务决算和国统数据按时搜集、审核及上报；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（四）保障每月全市国企财务快报及时搜集、审核及上报；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（五）保证完成有关分析数据和指标提取；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（六）完成国资委交办的其他日常财务监督等工作；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（七）保证日常有两名人员在国资委开展服务工作。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五、比选范围：在我委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2017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月通过政府集中采购方式选定了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35</w:t>
      </w:r>
      <w:r w:rsidR="009907E3">
        <w:rPr>
          <w:rFonts w:ascii="Times New Roman" w:eastAsia="方正仿宋_GBK" w:hAnsi="Times New Roman" w:cs="Times New Roman" w:hint="eastAsia"/>
          <w:sz w:val="32"/>
          <w:szCs w:val="32"/>
        </w:rPr>
        <w:t>家审计类中介机构中</w:t>
      </w:r>
      <w:r w:rsidR="00BE60A4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9907E3">
        <w:rPr>
          <w:rFonts w:ascii="Times New Roman" w:eastAsia="方正仿宋_GBK" w:hAnsi="Times New Roman" w:cs="Times New Roman" w:hint="eastAsia"/>
          <w:sz w:val="32"/>
          <w:szCs w:val="32"/>
        </w:rPr>
        <w:t>承担主审任务的会计师事务所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为备选事务所进行比选。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六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、评分方式：综合评分法</w:t>
      </w:r>
    </w:p>
    <w:p w:rsidR="003415EB" w:rsidRPr="009F642D" w:rsidRDefault="003415EB" w:rsidP="003415E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七</w:t>
      </w:r>
      <w:r w:rsidRPr="009F642D">
        <w:rPr>
          <w:rFonts w:ascii="Times New Roman" w:eastAsia="方正仿宋_GBK" w:hAnsi="Times New Roman" w:cs="Times New Roman" w:hint="eastAsia"/>
          <w:sz w:val="32"/>
          <w:szCs w:val="32"/>
        </w:rPr>
        <w:t>、评分标准：</w:t>
      </w:r>
    </w:p>
    <w:tbl>
      <w:tblPr>
        <w:tblW w:w="9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943"/>
        <w:gridCol w:w="5759"/>
        <w:gridCol w:w="893"/>
      </w:tblGrid>
      <w:tr w:rsidR="003415EB" w:rsidTr="009D7B76">
        <w:trPr>
          <w:trHeight w:val="496"/>
        </w:trPr>
        <w:tc>
          <w:tcPr>
            <w:tcW w:w="685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评审项目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评分依据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分值</w:t>
            </w:r>
          </w:p>
        </w:tc>
      </w:tr>
      <w:tr w:rsidR="003415EB" w:rsidTr="009D7B76">
        <w:trPr>
          <w:trHeight w:val="974"/>
        </w:trPr>
        <w:tc>
          <w:tcPr>
            <w:tcW w:w="685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3415EB" w:rsidRPr="009F642D" w:rsidRDefault="003415EB" w:rsidP="009D7B76">
            <w:pPr>
              <w:widowControl/>
              <w:spacing w:line="360" w:lineRule="auto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服务团队人员配备的整体评价（一）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415EB" w:rsidRDefault="003415EB" w:rsidP="00BE60A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熟悉和使用过久其软件的注册会计师不少于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5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名，每少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名扣</w:t>
            </w:r>
            <w:r w:rsidR="00BE60A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五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分</w:t>
            </w:r>
            <w:r w:rsidR="00BE60A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15EB" w:rsidRDefault="009907E3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="003415EB"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</w:t>
            </w:r>
            <w:r w:rsidR="003415EB"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分</w:t>
            </w:r>
          </w:p>
        </w:tc>
      </w:tr>
      <w:tr w:rsidR="003415EB" w:rsidRPr="009F642D" w:rsidTr="009D7B76">
        <w:trPr>
          <w:trHeight w:val="575"/>
        </w:trPr>
        <w:tc>
          <w:tcPr>
            <w:tcW w:w="685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3415EB" w:rsidRPr="009F642D" w:rsidRDefault="003415EB" w:rsidP="009D7B76">
            <w:pPr>
              <w:widowControl/>
              <w:spacing w:line="360" w:lineRule="auto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服务团队人员配备的整体评价（二）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415EB" w:rsidRDefault="003415EB" w:rsidP="00BE60A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对本项目的服务团队的人员近三年参与过四川省、成都市国资委组织</w:t>
            </w:r>
            <w:proofErr w:type="gramStart"/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的久其软件</w:t>
            </w:r>
            <w:proofErr w:type="gramEnd"/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使用培训辅导的讲授工作不少于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次，每少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次扣</w:t>
            </w:r>
            <w:r w:rsidR="00BE60A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二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分</w:t>
            </w:r>
            <w:r w:rsidR="00BE60A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15EB" w:rsidRPr="009F642D" w:rsidRDefault="009907E3" w:rsidP="009D7B76">
            <w:pPr>
              <w:widowControl/>
              <w:spacing w:line="360" w:lineRule="auto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="003415EB"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</w:t>
            </w:r>
            <w:r w:rsidR="003415EB"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分</w:t>
            </w:r>
          </w:p>
        </w:tc>
      </w:tr>
      <w:tr w:rsidR="003415EB" w:rsidTr="009D7B76">
        <w:trPr>
          <w:trHeight w:val="534"/>
        </w:trPr>
        <w:tc>
          <w:tcPr>
            <w:tcW w:w="685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服务团队人员配备的整体评价（三）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415EB" w:rsidRPr="009F642D" w:rsidRDefault="003415EB" w:rsidP="00BE60A4">
            <w:pPr>
              <w:widowControl/>
              <w:spacing w:line="360" w:lineRule="auto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针对本项目的服务团队的人员近三年参与过四川省、成都市国资委组织</w:t>
            </w:r>
            <w:proofErr w:type="gramStart"/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的久其软件</w:t>
            </w:r>
            <w:proofErr w:type="gramEnd"/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年度决算和国统数据审核及参数设置工作不少于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次，每少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="00BE60A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次扣五分。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15EB" w:rsidRPr="009F642D" w:rsidRDefault="009907E3" w:rsidP="009D7B76">
            <w:pPr>
              <w:widowControl/>
              <w:spacing w:line="360" w:lineRule="auto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="003415EB"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</w:t>
            </w:r>
            <w:r w:rsidR="003415EB"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分</w:t>
            </w:r>
          </w:p>
        </w:tc>
      </w:tr>
      <w:tr w:rsidR="003415EB" w:rsidTr="009D7B76">
        <w:trPr>
          <w:trHeight w:val="534"/>
        </w:trPr>
        <w:tc>
          <w:tcPr>
            <w:tcW w:w="685" w:type="dxa"/>
            <w:shd w:val="clear" w:color="auto" w:fill="auto"/>
            <w:vAlign w:val="center"/>
          </w:tcPr>
          <w:p w:rsidR="003415EB" w:rsidRDefault="003415EB" w:rsidP="009D7B7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3415EB" w:rsidRPr="009F642D" w:rsidRDefault="003415EB" w:rsidP="009D7B76">
            <w:pPr>
              <w:widowControl/>
              <w:spacing w:line="360" w:lineRule="auto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服务报价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415EB" w:rsidRPr="009F642D" w:rsidRDefault="003415EB" w:rsidP="009907E3">
            <w:pPr>
              <w:widowControl/>
              <w:spacing w:line="360" w:lineRule="auto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最高控制价为服务费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万元每年，报价下浮</w:t>
            </w:r>
            <w:r w:rsidR="009907E3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超过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10%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以上</w:t>
            </w:r>
            <w:r w:rsidR="009907E3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不得分。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15EB" w:rsidRPr="009F642D" w:rsidRDefault="009907E3" w:rsidP="009D7B76">
            <w:pPr>
              <w:widowControl/>
              <w:spacing w:line="360" w:lineRule="auto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="003415EB"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</w:t>
            </w:r>
            <w:r w:rsidR="003415EB"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分</w:t>
            </w:r>
          </w:p>
        </w:tc>
      </w:tr>
      <w:tr w:rsidR="003415EB" w:rsidTr="009D7B76">
        <w:trPr>
          <w:trHeight w:val="540"/>
        </w:trPr>
        <w:tc>
          <w:tcPr>
            <w:tcW w:w="8387" w:type="dxa"/>
            <w:gridSpan w:val="3"/>
            <w:shd w:val="clear" w:color="auto" w:fill="auto"/>
            <w:vAlign w:val="center"/>
          </w:tcPr>
          <w:p w:rsidR="003415EB" w:rsidRPr="009F642D" w:rsidRDefault="003415EB" w:rsidP="009D7B76">
            <w:pPr>
              <w:widowControl/>
              <w:spacing w:line="360" w:lineRule="auto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合计得分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415EB" w:rsidRPr="009F642D" w:rsidRDefault="003415EB" w:rsidP="009D7B76">
            <w:pPr>
              <w:widowControl/>
              <w:spacing w:line="360" w:lineRule="auto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100</w:t>
            </w:r>
            <w:r w:rsidRPr="009F642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分</w:t>
            </w:r>
          </w:p>
        </w:tc>
      </w:tr>
    </w:tbl>
    <w:p w:rsidR="000665BA" w:rsidRPr="00E812EE" w:rsidRDefault="000665BA" w:rsidP="003415EB">
      <w:pPr>
        <w:spacing w:line="7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0665BA" w:rsidRPr="00E812EE" w:rsidSect="00E812E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C3" w:rsidRDefault="002602C3" w:rsidP="00F33940">
      <w:pPr>
        <w:spacing w:line="240" w:lineRule="auto"/>
      </w:pPr>
      <w:r>
        <w:separator/>
      </w:r>
    </w:p>
  </w:endnote>
  <w:endnote w:type="continuationSeparator" w:id="0">
    <w:p w:rsidR="002602C3" w:rsidRDefault="002602C3" w:rsidP="00F33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C3" w:rsidRDefault="002602C3" w:rsidP="00F33940">
      <w:pPr>
        <w:spacing w:line="240" w:lineRule="auto"/>
      </w:pPr>
      <w:r>
        <w:separator/>
      </w:r>
    </w:p>
  </w:footnote>
  <w:footnote w:type="continuationSeparator" w:id="0">
    <w:p w:rsidR="002602C3" w:rsidRDefault="002602C3" w:rsidP="00F33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4D54"/>
    <w:multiLevelType w:val="multilevel"/>
    <w:tmpl w:val="7D754D54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95"/>
    <w:rsid w:val="00002A4C"/>
    <w:rsid w:val="00051B6B"/>
    <w:rsid w:val="000665BA"/>
    <w:rsid w:val="000A0468"/>
    <w:rsid w:val="000A2C75"/>
    <w:rsid w:val="000E1178"/>
    <w:rsid w:val="000F7F20"/>
    <w:rsid w:val="001107D6"/>
    <w:rsid w:val="001137C7"/>
    <w:rsid w:val="00162450"/>
    <w:rsid w:val="0017217F"/>
    <w:rsid w:val="00184727"/>
    <w:rsid w:val="00184C95"/>
    <w:rsid w:val="001C76ED"/>
    <w:rsid w:val="001D4D48"/>
    <w:rsid w:val="0023265C"/>
    <w:rsid w:val="002602C3"/>
    <w:rsid w:val="0026498F"/>
    <w:rsid w:val="002C1D35"/>
    <w:rsid w:val="00337174"/>
    <w:rsid w:val="003375E7"/>
    <w:rsid w:val="003415EB"/>
    <w:rsid w:val="0035064B"/>
    <w:rsid w:val="00353A32"/>
    <w:rsid w:val="003602BE"/>
    <w:rsid w:val="00367874"/>
    <w:rsid w:val="003A1073"/>
    <w:rsid w:val="0042276A"/>
    <w:rsid w:val="00425114"/>
    <w:rsid w:val="00430A8E"/>
    <w:rsid w:val="00432F7E"/>
    <w:rsid w:val="004808BD"/>
    <w:rsid w:val="004B09A7"/>
    <w:rsid w:val="004C2B7C"/>
    <w:rsid w:val="004C2CE9"/>
    <w:rsid w:val="004D1A47"/>
    <w:rsid w:val="005366EF"/>
    <w:rsid w:val="005533A9"/>
    <w:rsid w:val="00584E6D"/>
    <w:rsid w:val="005A11EB"/>
    <w:rsid w:val="005D56D2"/>
    <w:rsid w:val="006020AC"/>
    <w:rsid w:val="006365AE"/>
    <w:rsid w:val="006D2A65"/>
    <w:rsid w:val="007070F5"/>
    <w:rsid w:val="00724AAD"/>
    <w:rsid w:val="00734511"/>
    <w:rsid w:val="00742F1A"/>
    <w:rsid w:val="0075047A"/>
    <w:rsid w:val="007F28EC"/>
    <w:rsid w:val="00837D6E"/>
    <w:rsid w:val="0084457E"/>
    <w:rsid w:val="00852708"/>
    <w:rsid w:val="00866243"/>
    <w:rsid w:val="0087346C"/>
    <w:rsid w:val="0088541A"/>
    <w:rsid w:val="008C2587"/>
    <w:rsid w:val="008F6A27"/>
    <w:rsid w:val="008F706B"/>
    <w:rsid w:val="00922410"/>
    <w:rsid w:val="00947DF7"/>
    <w:rsid w:val="009907E3"/>
    <w:rsid w:val="009B0291"/>
    <w:rsid w:val="009D56AD"/>
    <w:rsid w:val="00A05B45"/>
    <w:rsid w:val="00A2381F"/>
    <w:rsid w:val="00A357B4"/>
    <w:rsid w:val="00A80BAB"/>
    <w:rsid w:val="00A954AD"/>
    <w:rsid w:val="00AB67D0"/>
    <w:rsid w:val="00B34969"/>
    <w:rsid w:val="00B66E1D"/>
    <w:rsid w:val="00B91A8D"/>
    <w:rsid w:val="00BE60A4"/>
    <w:rsid w:val="00BE68E6"/>
    <w:rsid w:val="00BF22DE"/>
    <w:rsid w:val="00C50468"/>
    <w:rsid w:val="00C90ECA"/>
    <w:rsid w:val="00C95158"/>
    <w:rsid w:val="00CD5D66"/>
    <w:rsid w:val="00CF6F56"/>
    <w:rsid w:val="00CF6F64"/>
    <w:rsid w:val="00D0414B"/>
    <w:rsid w:val="00D05874"/>
    <w:rsid w:val="00D23815"/>
    <w:rsid w:val="00D239C0"/>
    <w:rsid w:val="00DC1519"/>
    <w:rsid w:val="00DD1A2B"/>
    <w:rsid w:val="00DE7297"/>
    <w:rsid w:val="00E076EB"/>
    <w:rsid w:val="00E111FF"/>
    <w:rsid w:val="00E1134E"/>
    <w:rsid w:val="00E31E74"/>
    <w:rsid w:val="00E46ADE"/>
    <w:rsid w:val="00E53711"/>
    <w:rsid w:val="00E60155"/>
    <w:rsid w:val="00E812EE"/>
    <w:rsid w:val="00E8641C"/>
    <w:rsid w:val="00E976F5"/>
    <w:rsid w:val="00ED3A8B"/>
    <w:rsid w:val="00EF6F14"/>
    <w:rsid w:val="00F33940"/>
    <w:rsid w:val="00FB1B7D"/>
    <w:rsid w:val="00FC16BC"/>
    <w:rsid w:val="27073C84"/>
    <w:rsid w:val="295F66E7"/>
    <w:rsid w:val="37D13EE0"/>
    <w:rsid w:val="43765879"/>
    <w:rsid w:val="45497862"/>
    <w:rsid w:val="4E8A7633"/>
    <w:rsid w:val="4F3227FC"/>
    <w:rsid w:val="6C1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65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65BA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E6015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601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65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65BA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E6015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601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2018-12-25T07:22:00Z</cp:lastPrinted>
  <dcterms:created xsi:type="dcterms:W3CDTF">2018-11-26T02:23:00Z</dcterms:created>
  <dcterms:modified xsi:type="dcterms:W3CDTF">2018-12-29T07:19:00Z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