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eastAsia="方正小标宋简体"/>
          <w:sz w:val="44"/>
          <w:szCs w:val="44"/>
        </w:rPr>
        <w:t>职责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left="64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一、副总经理（分管项目建设）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（一）向公司总经理负责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，协助总经理开展工作，参与公司经营管理与决策，完成公司下达的经营目标。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（二）负责编制水利项目工程规划、制定年度计划并组织实施，研究水利工程建设管理的重大问题并提出政策建议。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（三）负责水利工程可行性研究、初步设计、设计变更等审查工作。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（四）是统筹推进水利工程建设，负责进度、质量、安全等技术把关工作。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负责牵头组织限额以上的工程项目签证、变更工作及相关制度要求的备案审核工作。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（六）参与或主持水利工程验收工作。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（七）负责水利水电工程运行管理技术支撑。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</w:rPr>
        <w:t>（八）履行全面从严治党主体责任，严格落实“一岗双责”。</w:t>
      </w:r>
    </w:p>
    <w:p>
      <w:pPr>
        <w:numPr>
          <w:ilvl w:val="0"/>
          <w:numId w:val="1"/>
        </w:num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完成领导交办的其他工作任务。</w:t>
      </w:r>
    </w:p>
    <w:p>
      <w:pPr>
        <w:spacing w:line="580" w:lineRule="exact"/>
        <w:ind w:left="200"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二、副总经理（分管安全管理、质量管理）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（一）向公司总经理负责，协助总经理开展工作，参与公司经营管理与决策，完成公司下达的经营目标。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（二）分工负责安全、质量、环境保护、水土保持等工作。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（三）协助总经理组织、监督公司各项规划和计划的实施。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（四）协助总经理将公司内部管理制度化、规范化。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（五）配合总经理协调分管领域的外部关系。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（六）履行全面从严治党主体责任，严格落实“一岗双责”。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（七）完成领导交办的其他工作任务。</w:t>
      </w:r>
    </w:p>
    <w:p>
      <w:pPr>
        <w:spacing w:line="58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三、副总经理（分管技术合同管理）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（一）向公司总经理负责，协助总经理开展工作，参与公司经营管理与决策，完成公司下达的经营目标。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（二）分工负责计划、工程技术管理、设计方管理、合同、法务、招投标等工作。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（三）协助总经理组织、监督公司各项规划和计划的实施。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（四）协助总经理将公司内部管理制度化、规范化。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（五）配合总经理协调分管领域的外部关系。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（六）履行全面从严治党主体责任，严格落实“一岗双责”。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（七）完成领导交办的其他工作任务。</w:t>
      </w:r>
    </w:p>
    <w:p>
      <w:pPr>
        <w:spacing w:line="580" w:lineRule="exact"/>
        <w:ind w:firstLine="200"/>
        <w:rPr>
          <w:rFonts w:eastAsia="仿宋_GB2312"/>
          <w:sz w:val="33"/>
          <w:szCs w:val="33"/>
        </w:rPr>
      </w:pPr>
    </w:p>
    <w:p>
      <w:pPr>
        <w:spacing w:line="580" w:lineRule="exact"/>
        <w:jc w:val="center"/>
        <w:rPr>
          <w:rFonts w:eastAsia="仿宋"/>
          <w:sz w:val="32"/>
          <w:szCs w:val="32"/>
        </w:rPr>
      </w:pPr>
    </w:p>
    <w:p/>
    <w:p/>
    <w:sectPr>
      <w:footerReference r:id="rId3" w:type="default"/>
      <w:footerReference r:id="rId4" w:type="even"/>
      <w:pgSz w:w="11907" w:h="16840"/>
      <w:pgMar w:top="1440" w:right="1474" w:bottom="1440" w:left="1588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80" w:firstLineChars="2850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ascii="Calibri" w:hAnsi="Calibri"/>
        <w:sz w:val="28"/>
        <w:szCs w:val="28"/>
        <w:lang w:val="zh-CN"/>
      </w:rPr>
      <w:t>26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626C0"/>
    <w:multiLevelType w:val="multilevel"/>
    <w:tmpl w:val="0FE626C0"/>
    <w:lvl w:ilvl="0" w:tentative="0">
      <w:start w:val="9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F495DF5"/>
    <w:rsid w:val="5F4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2022-08-11T09:52:00Z</dcterms:created>
  <dc:creator>cuckoo</dc:creator>
  <cp:lastModifiedBy>cuckoo</cp:lastModifiedBy>
  <dcterms:modified xsi:type="dcterms:W3CDTF">2022-08-11T09:53:03Z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D4FA18B9D36C471D929B27FBDA81A029</vt:lpwstr>
  </property>
</Properties>
</file>